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480" w:lineRule="auto"/>
        <w:jc w:val="center"/>
        <w:rPr>
          <w:rFonts w:hint="eastAsia" w:asciiTheme="majorEastAsia" w:hAnsiTheme="majorEastAsia" w:eastAsiaTheme="majorEastAsia" w:cstheme="majorEastAsia"/>
          <w:sz w:val="36"/>
          <w:szCs w:val="36"/>
          <w:lang w:eastAsia="zh-CN"/>
        </w:rPr>
      </w:pPr>
      <w:bookmarkStart w:id="0" w:name="_Toc35393809"/>
      <w:bookmarkStart w:id="1" w:name="_Toc28359022"/>
      <w:r>
        <w:rPr>
          <w:rFonts w:hint="eastAsia" w:asciiTheme="majorEastAsia" w:hAnsiTheme="majorEastAsia" w:eastAsiaTheme="majorEastAsia" w:cstheme="majorEastAsia"/>
          <w:sz w:val="36"/>
          <w:szCs w:val="36"/>
          <w:lang w:eastAsia="zh-CN"/>
        </w:rPr>
        <w:t>河南省鹤壁市中级人民法院流量服务项目</w:t>
      </w:r>
    </w:p>
    <w:p>
      <w:pPr>
        <w:pStyle w:val="2"/>
        <w:tabs>
          <w:tab w:val="left" w:pos="0"/>
        </w:tabs>
        <w:autoSpaceDE w:val="0"/>
        <w:autoSpaceDN w:val="0"/>
        <w:adjustRightInd w:val="0"/>
        <w:spacing w:before="0" w:after="0" w:line="480" w:lineRule="auto"/>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成交结果公告</w:t>
      </w:r>
      <w:bookmarkEnd w:id="0"/>
      <w:bookmarkEnd w:id="1"/>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一、</w:t>
      </w:r>
      <w:r>
        <w:rPr>
          <w:rFonts w:hint="eastAsia" w:asciiTheme="majorEastAsia" w:hAnsiTheme="majorEastAsia" w:eastAsiaTheme="majorEastAsia" w:cstheme="majorEastAsia"/>
          <w:sz w:val="21"/>
          <w:szCs w:val="21"/>
          <w:lang w:eastAsia="zh-CN"/>
        </w:rPr>
        <w:t>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1、采购</w:t>
      </w:r>
      <w:r>
        <w:rPr>
          <w:rFonts w:hint="eastAsia" w:asciiTheme="majorEastAsia" w:hAnsiTheme="majorEastAsia" w:eastAsiaTheme="majorEastAsia" w:cstheme="majorEastAsia"/>
          <w:sz w:val="21"/>
          <w:szCs w:val="21"/>
        </w:rPr>
        <w:t>项目编号：</w:t>
      </w:r>
      <w:r>
        <w:rPr>
          <w:rFonts w:hint="eastAsia" w:asciiTheme="majorEastAsia" w:hAnsiTheme="majorEastAsia" w:eastAsiaTheme="majorEastAsia" w:cstheme="majorEastAsia"/>
          <w:sz w:val="21"/>
          <w:szCs w:val="21"/>
          <w:lang w:val="en-US" w:eastAsia="zh-CN"/>
        </w:rPr>
        <w:t>豫财磋商采购-2024-7</w:t>
      </w:r>
      <w:r>
        <w:rPr>
          <w:rFonts w:hint="eastAsia" w:asciiTheme="majorEastAsia" w:hAnsiTheme="majorEastAsia" w:eastAsiaTheme="majorEastAsia" w:cstheme="majorEastAsia"/>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2、采购</w:t>
      </w:r>
      <w:r>
        <w:rPr>
          <w:rFonts w:hint="eastAsia" w:asciiTheme="majorEastAsia" w:hAnsiTheme="majorEastAsia" w:eastAsiaTheme="majorEastAsia" w:cstheme="majorEastAsia"/>
          <w:sz w:val="21"/>
          <w:szCs w:val="21"/>
        </w:rPr>
        <w:t>项目名称：</w:t>
      </w:r>
      <w:r>
        <w:rPr>
          <w:rFonts w:hint="eastAsia" w:asciiTheme="majorEastAsia" w:hAnsiTheme="majorEastAsia" w:eastAsiaTheme="majorEastAsia" w:cstheme="majorEastAsia"/>
          <w:sz w:val="21"/>
          <w:szCs w:val="21"/>
          <w:lang w:eastAsia="zh-CN"/>
        </w:rPr>
        <w:t>河南省鹤壁市中级人民法院流量服务项目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lang w:eastAsia="zh-CN"/>
        </w:rPr>
        <w:t>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CN"/>
        </w:rPr>
        <w:t>采购公告发布日期：202</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CN"/>
        </w:rPr>
        <w:t>年</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lang w:eastAsia="zh-CN"/>
        </w:rPr>
        <w:t>月</w:t>
      </w:r>
      <w:r>
        <w:rPr>
          <w:rFonts w:hint="eastAsia" w:asciiTheme="majorEastAsia" w:hAnsiTheme="majorEastAsia" w:eastAsiaTheme="majorEastAsia" w:cstheme="majorEastAsia"/>
          <w:sz w:val="21"/>
          <w:szCs w:val="21"/>
          <w:lang w:val="en-US" w:eastAsia="zh-CN"/>
        </w:rPr>
        <w:t>12</w:t>
      </w:r>
      <w:r>
        <w:rPr>
          <w:rFonts w:hint="eastAsia" w:asciiTheme="majorEastAsia" w:hAnsiTheme="majorEastAsia" w:eastAsiaTheme="majorEastAsia" w:cstheme="majorEastAsia"/>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lang w:eastAsia="zh-CN"/>
        </w:rPr>
        <w:t>评审日期：202</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CN"/>
        </w:rPr>
        <w:t>年</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lang w:eastAsia="zh-CN"/>
        </w:rPr>
        <w:t>月</w:t>
      </w:r>
      <w:r>
        <w:rPr>
          <w:rFonts w:hint="eastAsia" w:asciiTheme="majorEastAsia" w:hAnsiTheme="majorEastAsia" w:eastAsiaTheme="majorEastAsia" w:cstheme="majorEastAsia"/>
          <w:sz w:val="21"/>
          <w:szCs w:val="21"/>
          <w:lang w:val="en-US" w:eastAsia="zh-CN"/>
        </w:rPr>
        <w:t>23</w:t>
      </w:r>
      <w:r>
        <w:rPr>
          <w:rFonts w:hint="eastAsia" w:asciiTheme="majorEastAsia" w:hAnsiTheme="majorEastAsia" w:eastAsiaTheme="majorEastAsia" w:cstheme="majorEastAsia"/>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二</w:t>
      </w:r>
      <w:r>
        <w:rPr>
          <w:rFonts w:hint="eastAsia" w:asciiTheme="majorEastAsia" w:hAnsiTheme="majorEastAsia" w:eastAsiaTheme="majorEastAsia" w:cstheme="majorEastAsia"/>
          <w:sz w:val="21"/>
          <w:szCs w:val="21"/>
        </w:rPr>
        <w:t>、成交</w:t>
      </w:r>
      <w:r>
        <w:rPr>
          <w:rFonts w:hint="eastAsia" w:asciiTheme="majorEastAsia" w:hAnsiTheme="majorEastAsia" w:eastAsiaTheme="majorEastAsia" w:cstheme="majorEastAsia"/>
          <w:sz w:val="21"/>
          <w:szCs w:val="21"/>
          <w:lang w:eastAsia="zh-CN"/>
        </w:rPr>
        <w:t>情况</w:t>
      </w:r>
    </w:p>
    <w:p>
      <w:pPr>
        <w:rPr>
          <w:rFonts w:hint="eastAsia" w:asciiTheme="majorEastAsia" w:hAnsiTheme="majorEastAsia" w:eastAsiaTheme="majorEastAsia" w:cstheme="majorEastAsia"/>
          <w:sz w:val="21"/>
          <w:szCs w:val="21"/>
          <w:lang w:eastAsia="zh-CN"/>
        </w:rPr>
      </w:pPr>
    </w:p>
    <w:tbl>
      <w:tblPr>
        <w:tblStyle w:val="12"/>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705"/>
        <w:gridCol w:w="1219"/>
        <w:gridCol w:w="1841"/>
        <w:gridCol w:w="1746"/>
        <w:gridCol w:w="1336"/>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83" w:type="dxa"/>
            <w:vAlign w:val="center"/>
          </w:tcPr>
          <w:p>
            <w:pPr>
              <w:spacing w:line="408"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包号</w:t>
            </w:r>
          </w:p>
        </w:tc>
        <w:tc>
          <w:tcPr>
            <w:tcW w:w="1924" w:type="dxa"/>
            <w:gridSpan w:val="2"/>
            <w:vAlign w:val="center"/>
          </w:tcPr>
          <w:p>
            <w:pPr>
              <w:spacing w:line="408"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采购内容</w:t>
            </w:r>
          </w:p>
        </w:tc>
        <w:tc>
          <w:tcPr>
            <w:tcW w:w="1841" w:type="dxa"/>
            <w:vAlign w:val="center"/>
          </w:tcPr>
          <w:p>
            <w:pPr>
              <w:spacing w:line="408" w:lineRule="auto"/>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供应商名称</w:t>
            </w:r>
          </w:p>
        </w:tc>
        <w:tc>
          <w:tcPr>
            <w:tcW w:w="1746" w:type="dxa"/>
            <w:vAlign w:val="center"/>
          </w:tcPr>
          <w:p>
            <w:pPr>
              <w:spacing w:line="408" w:lineRule="auto"/>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地址</w:t>
            </w:r>
          </w:p>
        </w:tc>
        <w:tc>
          <w:tcPr>
            <w:tcW w:w="1336" w:type="dxa"/>
            <w:vAlign w:val="center"/>
          </w:tcPr>
          <w:p>
            <w:pPr>
              <w:spacing w:line="408" w:lineRule="auto"/>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中标金额</w:t>
            </w:r>
          </w:p>
        </w:tc>
        <w:tc>
          <w:tcPr>
            <w:tcW w:w="1636" w:type="dxa"/>
            <w:vAlign w:val="center"/>
          </w:tcPr>
          <w:p>
            <w:pPr>
              <w:spacing w:line="408" w:lineRule="auto"/>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883" w:type="dxa"/>
            <w:vMerge w:val="restart"/>
            <w:vAlign w:val="center"/>
          </w:tcPr>
          <w:p>
            <w:pPr>
              <w:pStyle w:val="5"/>
              <w:ind w:left="0" w:leftChars="0" w:firstLine="0" w:firstLineChars="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HBCG-2024-0016-01</w:t>
            </w:r>
          </w:p>
        </w:tc>
        <w:tc>
          <w:tcPr>
            <w:tcW w:w="1924" w:type="dxa"/>
            <w:gridSpan w:val="2"/>
            <w:vAlign w:val="center"/>
          </w:tcPr>
          <w:p>
            <w:pPr>
              <w:jc w:val="center"/>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河南省鹤壁市中级人民法院流量服务项目</w:t>
            </w:r>
          </w:p>
        </w:tc>
        <w:tc>
          <w:tcPr>
            <w:tcW w:w="1841" w:type="dxa"/>
            <w:vAlign w:val="center"/>
          </w:tcPr>
          <w:p>
            <w:pPr>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中国移动通信集团河南有限公司鹤壁分公司</w:t>
            </w:r>
          </w:p>
        </w:tc>
        <w:tc>
          <w:tcPr>
            <w:tcW w:w="1746" w:type="dxa"/>
            <w:vAlign w:val="center"/>
          </w:tcPr>
          <w:p>
            <w:pPr>
              <w:jc w:val="center"/>
              <w:rPr>
                <w:rFonts w:asciiTheme="majorEastAsia" w:hAnsiTheme="majorEastAsia" w:eastAsiaTheme="majorEastAsia" w:cstheme="majorEastAsia"/>
                <w:highlight w:val="none"/>
              </w:rPr>
            </w:pPr>
            <w:r>
              <w:rPr>
                <w:rFonts w:asciiTheme="majorEastAsia" w:hAnsiTheme="majorEastAsia" w:eastAsiaTheme="majorEastAsia" w:cstheme="majorEastAsia"/>
                <w:highlight w:val="none"/>
              </w:rPr>
              <w:t>鹤壁市淇滨区淇水大道与柳江路交汇处东北角</w:t>
            </w:r>
          </w:p>
        </w:tc>
        <w:tc>
          <w:tcPr>
            <w:tcW w:w="1336" w:type="dxa"/>
            <w:vAlign w:val="center"/>
          </w:tcPr>
          <w:p>
            <w:pPr>
              <w:jc w:val="center"/>
              <w:rPr>
                <w:rFonts w:hint="default" w:asciiTheme="majorEastAsia" w:hAnsiTheme="majorEastAsia" w:eastAsiaTheme="majorEastAsia" w:cstheme="majorEastAsia"/>
                <w:highlight w:val="none"/>
                <w:lang w:val="en-US" w:eastAsia="zh-CN"/>
              </w:rPr>
            </w:pPr>
            <w:r>
              <w:rPr>
                <w:rFonts w:hint="default" w:asciiTheme="majorEastAsia" w:hAnsiTheme="majorEastAsia" w:eastAsiaTheme="majorEastAsia" w:cstheme="majorEastAsia"/>
                <w:highlight w:val="none"/>
                <w:lang w:val="en-US" w:eastAsia="zh-CN"/>
              </w:rPr>
              <w:t>1535000.00</w:t>
            </w:r>
          </w:p>
        </w:tc>
        <w:tc>
          <w:tcPr>
            <w:tcW w:w="1636" w:type="dxa"/>
            <w:vAlign w:val="center"/>
          </w:tcPr>
          <w:p>
            <w:pPr>
              <w:jc w:val="center"/>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83" w:type="dxa"/>
            <w:vMerge w:val="continue"/>
            <w:vAlign w:val="center"/>
          </w:tcPr>
          <w:p>
            <w:pPr>
              <w:spacing w:line="408" w:lineRule="auto"/>
              <w:jc w:val="center"/>
              <w:rPr>
                <w:rFonts w:asciiTheme="majorEastAsia" w:hAnsiTheme="majorEastAsia" w:eastAsiaTheme="majorEastAsia" w:cstheme="majorEastAsia"/>
              </w:rPr>
            </w:pPr>
          </w:p>
        </w:tc>
        <w:tc>
          <w:tcPr>
            <w:tcW w:w="705" w:type="dxa"/>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序号</w:t>
            </w:r>
          </w:p>
        </w:tc>
        <w:tc>
          <w:tcPr>
            <w:tcW w:w="1219" w:type="dxa"/>
            <w:vAlign w:val="center"/>
          </w:tcPr>
          <w:p>
            <w:pPr>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名称</w:t>
            </w:r>
          </w:p>
        </w:tc>
        <w:tc>
          <w:tcPr>
            <w:tcW w:w="1841" w:type="dxa"/>
            <w:vAlign w:val="center"/>
          </w:tcPr>
          <w:p>
            <w:pPr>
              <w:jc w:val="center"/>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highlight w:val="none"/>
                <w:lang w:eastAsia="zh-CN"/>
              </w:rPr>
              <w:t>服务范围</w:t>
            </w:r>
          </w:p>
        </w:tc>
        <w:tc>
          <w:tcPr>
            <w:tcW w:w="1746" w:type="dxa"/>
            <w:vAlign w:val="center"/>
          </w:tcPr>
          <w:p>
            <w:pPr>
              <w:jc w:val="center"/>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highlight w:val="none"/>
                <w:lang w:eastAsia="zh-CN"/>
              </w:rPr>
              <w:t>服务要求</w:t>
            </w:r>
          </w:p>
        </w:tc>
        <w:tc>
          <w:tcPr>
            <w:tcW w:w="1336" w:type="dxa"/>
            <w:vAlign w:val="center"/>
          </w:tcPr>
          <w:p>
            <w:pPr>
              <w:jc w:val="center"/>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highlight w:val="none"/>
                <w:lang w:eastAsia="zh-CN"/>
              </w:rPr>
              <w:t>服务时间</w:t>
            </w:r>
          </w:p>
        </w:tc>
        <w:tc>
          <w:tcPr>
            <w:tcW w:w="1636" w:type="dxa"/>
            <w:vAlign w:val="center"/>
          </w:tcPr>
          <w:p>
            <w:pPr>
              <w:jc w:val="center"/>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highlight w:val="none"/>
                <w:lang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83" w:type="dxa"/>
            <w:vMerge w:val="continue"/>
            <w:vAlign w:val="center"/>
          </w:tcPr>
          <w:p>
            <w:pPr>
              <w:spacing w:line="408" w:lineRule="auto"/>
              <w:jc w:val="center"/>
              <w:rPr>
                <w:rFonts w:asciiTheme="majorEastAsia" w:hAnsiTheme="majorEastAsia" w:eastAsiaTheme="majorEastAsia" w:cstheme="majorEastAsia"/>
              </w:rPr>
            </w:pPr>
          </w:p>
        </w:tc>
        <w:tc>
          <w:tcPr>
            <w:tcW w:w="705" w:type="dxa"/>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w:t>
            </w:r>
          </w:p>
        </w:tc>
        <w:tc>
          <w:tcPr>
            <w:tcW w:w="1219" w:type="dxa"/>
            <w:vAlign w:val="center"/>
          </w:tcPr>
          <w:p>
            <w:pPr>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eastAsia="zh-CN"/>
              </w:rPr>
              <w:t>详见文件</w:t>
            </w:r>
          </w:p>
        </w:tc>
        <w:tc>
          <w:tcPr>
            <w:tcW w:w="1841" w:type="dxa"/>
            <w:vAlign w:val="center"/>
          </w:tcPr>
          <w:p>
            <w:pPr>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eastAsia="zh-CN"/>
              </w:rPr>
              <w:t>详见文件</w:t>
            </w:r>
          </w:p>
        </w:tc>
        <w:tc>
          <w:tcPr>
            <w:tcW w:w="1746" w:type="dxa"/>
            <w:vAlign w:val="center"/>
          </w:tcPr>
          <w:p>
            <w:pPr>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eastAsia="zh-CN"/>
              </w:rPr>
              <w:t>详见文件</w:t>
            </w:r>
          </w:p>
        </w:tc>
        <w:tc>
          <w:tcPr>
            <w:tcW w:w="1336" w:type="dxa"/>
            <w:vAlign w:val="center"/>
          </w:tcPr>
          <w:p>
            <w:pPr>
              <w:jc w:val="center"/>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highlight w:val="none"/>
                <w:lang w:val="en-US" w:eastAsia="zh-CN"/>
              </w:rPr>
              <w:t>两年</w:t>
            </w:r>
          </w:p>
        </w:tc>
        <w:tc>
          <w:tcPr>
            <w:tcW w:w="1636" w:type="dxa"/>
            <w:vAlign w:val="center"/>
          </w:tcPr>
          <w:p>
            <w:pPr>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eastAsia="zh-CN"/>
              </w:rPr>
              <w:t>详见文件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lang w:eastAsia="zh-CN"/>
        </w:rPr>
        <w:t>三、</w:t>
      </w:r>
      <w:r>
        <w:rPr>
          <w:rFonts w:hint="eastAsia" w:asciiTheme="majorEastAsia" w:hAnsiTheme="majorEastAsia" w:eastAsiaTheme="majorEastAsia" w:cstheme="majorEastAsia"/>
          <w:sz w:val="21"/>
          <w:szCs w:val="21"/>
          <w:highlight w:val="none"/>
        </w:rPr>
        <w:t>评审专家名单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eastAsia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郭书楷、王蓉、贾振华（采购人代表）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四、</w:t>
      </w:r>
      <w:r>
        <w:rPr>
          <w:rFonts w:hint="eastAsia" w:asciiTheme="majorEastAsia" w:hAnsiTheme="majorEastAsia" w:eastAsiaTheme="majorEastAsia" w:cstheme="majorEastAsia"/>
          <w:sz w:val="21"/>
          <w:szCs w:val="21"/>
          <w:highlight w:val="none"/>
        </w:rPr>
        <w:t>代理服务收费标准及金额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kern w:val="0"/>
          <w:sz w:val="21"/>
          <w:szCs w:val="21"/>
          <w:highlight w:val="none"/>
          <w:lang w:eastAsia="zh-CN"/>
        </w:rPr>
        <w:t>收费标准：按</w:t>
      </w:r>
      <w:r>
        <w:rPr>
          <w:rFonts w:hint="eastAsia" w:asciiTheme="majorEastAsia" w:hAnsiTheme="majorEastAsia" w:eastAsiaTheme="majorEastAsia" w:cstheme="majorEastAsia"/>
          <w:kern w:val="0"/>
          <w:sz w:val="21"/>
          <w:szCs w:val="21"/>
          <w:highlight w:val="none"/>
          <w:lang w:val="en-US" w:eastAsia="zh-CN"/>
        </w:rPr>
        <w:t>《河南省招标代理服务收费指导意见》豫招协[2023]002号</w:t>
      </w:r>
      <w:r>
        <w:rPr>
          <w:rFonts w:hint="eastAsia" w:asciiTheme="majorEastAsia" w:hAnsiTheme="majorEastAsia" w:eastAsiaTheme="majorEastAsia" w:cstheme="majorEastAsia"/>
          <w:kern w:val="0"/>
          <w:sz w:val="21"/>
          <w:szCs w:val="21"/>
          <w:highlight w:val="none"/>
          <w:lang w:eastAsia="zh-CN"/>
        </w:rPr>
        <w:t>文件规定收取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lang w:eastAsia="zh-CN"/>
        </w:rPr>
        <w:t>金额：</w:t>
      </w:r>
      <w:r>
        <w:rPr>
          <w:rFonts w:hint="eastAsia" w:asciiTheme="majorEastAsia" w:hAnsiTheme="majorEastAsia" w:eastAsiaTheme="majorEastAsia" w:cstheme="majorEastAsia"/>
          <w:kern w:val="0"/>
          <w:sz w:val="21"/>
          <w:szCs w:val="21"/>
          <w:highlight w:val="none"/>
          <w:lang w:val="en-US" w:eastAsia="zh-CN"/>
        </w:rPr>
        <w:t>23420.00元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五</w:t>
      </w:r>
      <w:r>
        <w:rPr>
          <w:rFonts w:hint="eastAsia" w:asciiTheme="majorEastAsia" w:hAnsiTheme="majorEastAsia" w:eastAsiaTheme="majorEastAsia" w:cstheme="majorEastAsia"/>
          <w:sz w:val="21"/>
          <w:szCs w:val="21"/>
          <w:highlight w:val="none"/>
        </w:rPr>
        <w:t>、公告期限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eastAsia="zh-CN"/>
        </w:rPr>
        <w:t>本次成交公告在《河南省政府采购网》、《鹤壁市政府采购网》、《鹤壁市公共资源交易公共服务平台》</w:t>
      </w:r>
      <w:r>
        <w:rPr>
          <w:rFonts w:hint="eastAsia" w:asciiTheme="majorEastAsia" w:hAnsiTheme="majorEastAsia" w:eastAsiaTheme="majorEastAsia" w:cstheme="majorEastAsia"/>
          <w:kern w:val="0"/>
          <w:sz w:val="21"/>
          <w:szCs w:val="21"/>
          <w:lang w:val="en-US" w:eastAsia="zh-CN"/>
        </w:rPr>
        <w:t>、《鹤壁市中级人民法院》</w:t>
      </w:r>
      <w:r>
        <w:rPr>
          <w:rFonts w:hint="eastAsia" w:asciiTheme="majorEastAsia" w:hAnsiTheme="majorEastAsia" w:eastAsiaTheme="majorEastAsia" w:cstheme="majorEastAsia"/>
          <w:kern w:val="0"/>
          <w:sz w:val="21"/>
          <w:szCs w:val="21"/>
          <w:lang w:eastAsia="zh-CN"/>
        </w:rPr>
        <w:t>上发布，成交公告期限为</w:t>
      </w:r>
      <w:r>
        <w:rPr>
          <w:rFonts w:hint="eastAsia" w:asciiTheme="majorEastAsia" w:hAnsiTheme="majorEastAsia" w:eastAsiaTheme="majorEastAsia" w:cstheme="majorEastAsia"/>
          <w:kern w:val="0"/>
          <w:sz w:val="21"/>
          <w:szCs w:val="21"/>
        </w:rPr>
        <w:t>1个工作日。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其他补充事宜</w:t>
      </w:r>
      <w:r>
        <w:rPr>
          <w:rFonts w:hint="eastAsia" w:asciiTheme="majorEastAsia" w:hAnsiTheme="majorEastAsia" w:eastAsiaTheme="majorEastAsia" w:cstheme="majorEastAsia"/>
          <w:sz w:val="21"/>
          <w:szCs w:val="2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textAlignment w:val="auto"/>
        <w:rPr>
          <w:rFonts w:hint="default"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highlight w:val="none"/>
          <w:lang w:val="en-US" w:eastAsia="zh-CN"/>
        </w:rPr>
        <w:t xml:space="preserve">专家评审结果及其它供应商未成交信息告知：第一中标候选人：中国移动通信集团河南有限公司鹤壁分公司  (最终报价：1535000.00 元，得分：96.00 分），第二中标候选人：河南华脉通信技术有限公司 (最终报价：1541000.00元，得分：64.92 分），第三中标候选人：河南省鸿旭通信有限公司  </w:t>
      </w:r>
      <w:bookmarkStart w:id="3" w:name="_GoBack"/>
      <w:bookmarkEnd w:id="3"/>
      <w:r>
        <w:rPr>
          <w:rFonts w:hint="eastAsia" w:asciiTheme="majorEastAsia" w:hAnsiTheme="majorEastAsia" w:eastAsiaTheme="majorEastAsia" w:cstheme="majorEastAsia"/>
          <w:kern w:val="0"/>
          <w:sz w:val="21"/>
          <w:szCs w:val="21"/>
          <w:highlight w:val="none"/>
          <w:lang w:val="en-US" w:eastAsia="zh-CN"/>
        </w:rPr>
        <w:t>(最终报价：1543000.00元，得分：62.23 分）；采购人依法确定第一中标候选人为本项目成交供应商。 2、成交供应商有政府采购合同融资意向的，请登录鹤壁市政府采购网进行供应商融资意向登记或者在通知公告栏目中获取融资渠</w:t>
      </w:r>
      <w:r>
        <w:rPr>
          <w:rFonts w:hint="eastAsia" w:asciiTheme="majorEastAsia" w:hAnsiTheme="majorEastAsia" w:eastAsiaTheme="majorEastAsia" w:cstheme="majorEastAsia"/>
          <w:kern w:val="0"/>
          <w:sz w:val="21"/>
          <w:szCs w:val="21"/>
          <w:lang w:val="en-US" w:eastAsia="zh-CN"/>
        </w:rPr>
        <w:t>道和联系方式。3、各有关当事人对成交结果有异议的，可以在成交公告期限届满之日起七个工作日内，按中华人民共和国财政部令第94号《政府采购质疑和投诉办法》的相关规定，以书面形式向采购人和采购代理机构提出质疑。逾期提交或未按照要求提交的质疑函将不予受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eastAsia="zh-CN"/>
        </w:rPr>
        <w:t>七</w:t>
      </w:r>
      <w:r>
        <w:rPr>
          <w:rFonts w:hint="eastAsia" w:asciiTheme="majorEastAsia" w:hAnsiTheme="majorEastAsia" w:eastAsiaTheme="majorEastAsia" w:cstheme="majorEastAsia"/>
          <w:kern w:val="0"/>
          <w:sz w:val="21"/>
          <w:szCs w:val="21"/>
        </w:rPr>
        <w:t>、凡对本次公告内容提出询问，请按以下方式联系。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采购人信息</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  称：河南省鹤壁市中级人民法院</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地  址：鹤壁市淇滨区鹤煤大道69号 </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联系人：贾先生</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联系方式：0392-3380116</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2、采购代理机构</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  称：汇龙工程咨询有限公司</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  址：郑州市高新区冬青街46号盛鼎科技园3号楼6楼</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联系人：周燕琴</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联系方式：13030396886</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bookmarkStart w:id="2" w:name="_Toc11926"/>
      <w:r>
        <w:rPr>
          <w:rFonts w:hint="eastAsia" w:ascii="宋体" w:hAnsi="宋体" w:eastAsia="宋体" w:cs="宋体"/>
          <w:sz w:val="21"/>
          <w:szCs w:val="21"/>
          <w:highlight w:val="none"/>
          <w:lang w:val="en-US" w:eastAsia="zh-CN"/>
        </w:rPr>
        <w:t>3.项目联系方式</w:t>
      </w:r>
      <w:bookmarkEnd w:id="2"/>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项目联系人：周燕琴</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　    话：13030396886</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p>
    <w:p>
      <w:pPr>
        <w:pStyle w:val="4"/>
        <w:rPr>
          <w:rFonts w:hint="eastAsia"/>
          <w:lang w:val="en-US" w:eastAsia="zh-CN"/>
        </w:rPr>
      </w:pPr>
    </w:p>
    <w:p>
      <w:pPr>
        <w:rPr>
          <w:rFonts w:hint="eastAsia" w:asciiTheme="majorEastAsia" w:hAnsiTheme="majorEastAsia" w:eastAsiaTheme="majorEastAsia" w:cstheme="majorEastAsia"/>
        </w:rPr>
      </w:pPr>
    </w:p>
    <w:p>
      <w:pPr>
        <w:pStyle w:val="4"/>
        <w:rPr>
          <w:rFonts w:hint="eastAsia" w:asciiTheme="majorEastAsia" w:hAnsiTheme="majorEastAsia" w:eastAsiaTheme="majorEastAsia" w:cstheme="majorEastAsia"/>
        </w:rPr>
      </w:pPr>
    </w:p>
    <w:sectPr>
      <w:pgSz w:w="11906" w:h="16838"/>
      <w:pgMar w:top="1440" w:right="1417" w:bottom="102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5087A"/>
    <w:multiLevelType w:val="singleLevel"/>
    <w:tmpl w:val="8B55087A"/>
    <w:lvl w:ilvl="0" w:tentative="0">
      <w:start w:val="1"/>
      <w:numFmt w:val="decimal"/>
      <w:suff w:val="nothing"/>
      <w:lvlText w:val="%1、"/>
      <w:lvlJc w:val="left"/>
    </w:lvl>
  </w:abstractNum>
  <w:abstractNum w:abstractNumId="1">
    <w:nsid w:val="E5EF5109"/>
    <w:multiLevelType w:val="singleLevel"/>
    <w:tmpl w:val="E5EF5109"/>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YjQ1YjM4YmEwZDFhZmFjZjJiZDY5NzY3ZTc1NzMifQ=="/>
  </w:docVars>
  <w:rsids>
    <w:rsidRoot w:val="024954D3"/>
    <w:rsid w:val="000348FD"/>
    <w:rsid w:val="000666DB"/>
    <w:rsid w:val="00070619"/>
    <w:rsid w:val="000772D4"/>
    <w:rsid w:val="00087062"/>
    <w:rsid w:val="000B472F"/>
    <w:rsid w:val="000B61C4"/>
    <w:rsid w:val="001560A5"/>
    <w:rsid w:val="00161C13"/>
    <w:rsid w:val="001732B6"/>
    <w:rsid w:val="00193E6C"/>
    <w:rsid w:val="001A31B5"/>
    <w:rsid w:val="001B39A9"/>
    <w:rsid w:val="001D4829"/>
    <w:rsid w:val="00217726"/>
    <w:rsid w:val="00237BEB"/>
    <w:rsid w:val="0028541F"/>
    <w:rsid w:val="002A5F9A"/>
    <w:rsid w:val="003852AB"/>
    <w:rsid w:val="003B20F6"/>
    <w:rsid w:val="003C44A2"/>
    <w:rsid w:val="00425656"/>
    <w:rsid w:val="00446E67"/>
    <w:rsid w:val="004D2BB2"/>
    <w:rsid w:val="004F0703"/>
    <w:rsid w:val="00504907"/>
    <w:rsid w:val="005A6C1E"/>
    <w:rsid w:val="005C7291"/>
    <w:rsid w:val="005C7D65"/>
    <w:rsid w:val="005E26AE"/>
    <w:rsid w:val="005F1035"/>
    <w:rsid w:val="00601B69"/>
    <w:rsid w:val="006319F7"/>
    <w:rsid w:val="006474B7"/>
    <w:rsid w:val="0065051B"/>
    <w:rsid w:val="00653AC0"/>
    <w:rsid w:val="00654461"/>
    <w:rsid w:val="006959C2"/>
    <w:rsid w:val="00721F92"/>
    <w:rsid w:val="0073035B"/>
    <w:rsid w:val="007A643B"/>
    <w:rsid w:val="007C1549"/>
    <w:rsid w:val="00831D41"/>
    <w:rsid w:val="00845DF8"/>
    <w:rsid w:val="00886966"/>
    <w:rsid w:val="00896616"/>
    <w:rsid w:val="008B5DB5"/>
    <w:rsid w:val="008E5D84"/>
    <w:rsid w:val="009327E6"/>
    <w:rsid w:val="009505B1"/>
    <w:rsid w:val="0099330A"/>
    <w:rsid w:val="009D4A5B"/>
    <w:rsid w:val="009E4DBB"/>
    <w:rsid w:val="00A018A6"/>
    <w:rsid w:val="00A53867"/>
    <w:rsid w:val="00AC3B95"/>
    <w:rsid w:val="00AD47E7"/>
    <w:rsid w:val="00AF46BD"/>
    <w:rsid w:val="00B339EE"/>
    <w:rsid w:val="00B50F23"/>
    <w:rsid w:val="00B848CF"/>
    <w:rsid w:val="00B91407"/>
    <w:rsid w:val="00B94143"/>
    <w:rsid w:val="00BF0065"/>
    <w:rsid w:val="00C06F3A"/>
    <w:rsid w:val="00C27E79"/>
    <w:rsid w:val="00D85911"/>
    <w:rsid w:val="00DA6B13"/>
    <w:rsid w:val="00E153BB"/>
    <w:rsid w:val="00EA13B9"/>
    <w:rsid w:val="00F36E41"/>
    <w:rsid w:val="00F4411A"/>
    <w:rsid w:val="00F66CF8"/>
    <w:rsid w:val="00FE3BE1"/>
    <w:rsid w:val="022216EA"/>
    <w:rsid w:val="024954D3"/>
    <w:rsid w:val="02DE028C"/>
    <w:rsid w:val="036916A9"/>
    <w:rsid w:val="03B24423"/>
    <w:rsid w:val="05E834A7"/>
    <w:rsid w:val="060A6DAB"/>
    <w:rsid w:val="065B3074"/>
    <w:rsid w:val="07601EE6"/>
    <w:rsid w:val="09E25F5B"/>
    <w:rsid w:val="0B423850"/>
    <w:rsid w:val="0B572C8A"/>
    <w:rsid w:val="0C022584"/>
    <w:rsid w:val="0E0D6565"/>
    <w:rsid w:val="0F5E1886"/>
    <w:rsid w:val="119763AE"/>
    <w:rsid w:val="11E82B0E"/>
    <w:rsid w:val="12A61DC2"/>
    <w:rsid w:val="147D206D"/>
    <w:rsid w:val="161A05F3"/>
    <w:rsid w:val="165753BC"/>
    <w:rsid w:val="17F32996"/>
    <w:rsid w:val="18A74D4D"/>
    <w:rsid w:val="1A311DEF"/>
    <w:rsid w:val="1A4B0B32"/>
    <w:rsid w:val="1FCC76BC"/>
    <w:rsid w:val="23E92278"/>
    <w:rsid w:val="23FB3B19"/>
    <w:rsid w:val="259320DC"/>
    <w:rsid w:val="28B529DE"/>
    <w:rsid w:val="2A681F06"/>
    <w:rsid w:val="2E6564AB"/>
    <w:rsid w:val="2E721E12"/>
    <w:rsid w:val="30A40293"/>
    <w:rsid w:val="31FE0091"/>
    <w:rsid w:val="320C43B8"/>
    <w:rsid w:val="325F39DE"/>
    <w:rsid w:val="339921E9"/>
    <w:rsid w:val="34347437"/>
    <w:rsid w:val="35B848E4"/>
    <w:rsid w:val="367D10F2"/>
    <w:rsid w:val="36A20D4C"/>
    <w:rsid w:val="36D46F18"/>
    <w:rsid w:val="36EB4B1F"/>
    <w:rsid w:val="398A4B1B"/>
    <w:rsid w:val="3A767013"/>
    <w:rsid w:val="3CCB7C93"/>
    <w:rsid w:val="3CEE5EE4"/>
    <w:rsid w:val="3EE55D09"/>
    <w:rsid w:val="3F0059FB"/>
    <w:rsid w:val="3FDA43F6"/>
    <w:rsid w:val="404B06FE"/>
    <w:rsid w:val="407E1FD3"/>
    <w:rsid w:val="421A2093"/>
    <w:rsid w:val="431F5F71"/>
    <w:rsid w:val="436403E3"/>
    <w:rsid w:val="439C3817"/>
    <w:rsid w:val="43A923A7"/>
    <w:rsid w:val="443566E7"/>
    <w:rsid w:val="452E1987"/>
    <w:rsid w:val="45F92DDB"/>
    <w:rsid w:val="46A049C9"/>
    <w:rsid w:val="47655466"/>
    <w:rsid w:val="491A6450"/>
    <w:rsid w:val="4CAF1A5D"/>
    <w:rsid w:val="4D537EB5"/>
    <w:rsid w:val="4E68132F"/>
    <w:rsid w:val="51C6574C"/>
    <w:rsid w:val="5BC929F5"/>
    <w:rsid w:val="5EE53F47"/>
    <w:rsid w:val="5F3874F9"/>
    <w:rsid w:val="616058B1"/>
    <w:rsid w:val="63296040"/>
    <w:rsid w:val="640C5E50"/>
    <w:rsid w:val="642A06A6"/>
    <w:rsid w:val="64B4464E"/>
    <w:rsid w:val="65131A26"/>
    <w:rsid w:val="67A85331"/>
    <w:rsid w:val="6873729C"/>
    <w:rsid w:val="69C072BC"/>
    <w:rsid w:val="6D9C78F5"/>
    <w:rsid w:val="6F753C1F"/>
    <w:rsid w:val="6FF055CD"/>
    <w:rsid w:val="70830248"/>
    <w:rsid w:val="722D62E3"/>
    <w:rsid w:val="731C754E"/>
    <w:rsid w:val="73EC75FA"/>
    <w:rsid w:val="762F7C4C"/>
    <w:rsid w:val="781847FD"/>
    <w:rsid w:val="786A65C6"/>
    <w:rsid w:val="79B62ACE"/>
    <w:rsid w:val="7AB26F5C"/>
    <w:rsid w:val="7AD828D6"/>
    <w:rsid w:val="7D9572AB"/>
    <w:rsid w:val="7EB85E82"/>
    <w:rsid w:val="7F893BD3"/>
    <w:rsid w:val="7FDD1C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autoRedefine/>
    <w:qFormat/>
    <w:uiPriority w:val="1"/>
    <w:rPr>
      <w:sz w:val="21"/>
      <w:szCs w:val="21"/>
    </w:rPr>
  </w:style>
  <w:style w:type="paragraph" w:styleId="5">
    <w:name w:val="Body Text First Indent"/>
    <w:basedOn w:val="4"/>
    <w:next w:val="1"/>
    <w:autoRedefine/>
    <w:unhideWhenUsed/>
    <w:qFormat/>
    <w:uiPriority w:val="99"/>
    <w:pPr>
      <w:ind w:firstLine="420" w:firstLineChars="100"/>
    </w:pPr>
  </w:style>
  <w:style w:type="paragraph" w:styleId="6">
    <w:name w:val="Plain Text"/>
    <w:basedOn w:val="1"/>
    <w:autoRedefine/>
    <w:qFormat/>
    <w:uiPriority w:val="0"/>
    <w:rPr>
      <w:rFonts w:ascii="宋体" w:hAnsi="Courier New" w:eastAsia="宋体" w:cs="Times New Roman"/>
      <w:szCs w:val="22"/>
    </w:rPr>
  </w:style>
  <w:style w:type="paragraph" w:styleId="7">
    <w:name w:val="footer"/>
    <w:basedOn w:val="1"/>
    <w:link w:val="20"/>
    <w:autoRedefine/>
    <w:qFormat/>
    <w:uiPriority w:val="0"/>
    <w:pPr>
      <w:tabs>
        <w:tab w:val="center" w:pos="4153"/>
        <w:tab w:val="right" w:pos="8306"/>
      </w:tabs>
      <w:snapToGrid w:val="0"/>
      <w:jc w:val="left"/>
    </w:pPr>
    <w:rPr>
      <w:sz w:val="18"/>
      <w:szCs w:val="18"/>
    </w:rPr>
  </w:style>
  <w:style w:type="paragraph" w:styleId="8">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next w:val="4"/>
    <w:autoRedefine/>
    <w:qFormat/>
    <w:uiPriority w:val="0"/>
    <w:pPr>
      <w:spacing w:after="120" w:line="480" w:lineRule="auto"/>
    </w:p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FollowedHyperlink"/>
    <w:basedOn w:val="13"/>
    <w:autoRedefine/>
    <w:qFormat/>
    <w:uiPriority w:val="0"/>
    <w:rPr>
      <w:color w:val="000000"/>
      <w:u w:val="none"/>
    </w:rPr>
  </w:style>
  <w:style w:type="character" w:styleId="16">
    <w:name w:val="Emphasis"/>
    <w:basedOn w:val="13"/>
    <w:autoRedefine/>
    <w:qFormat/>
    <w:uiPriority w:val="0"/>
  </w:style>
  <w:style w:type="character" w:styleId="17">
    <w:name w:val="Hyperlink"/>
    <w:basedOn w:val="13"/>
    <w:autoRedefine/>
    <w:qFormat/>
    <w:uiPriority w:val="0"/>
    <w:rPr>
      <w:color w:val="000000"/>
      <w:u w:val="none"/>
    </w:rPr>
  </w:style>
  <w:style w:type="paragraph" w:customStyle="1" w:styleId="18">
    <w:name w:val="*正文"/>
    <w:basedOn w:val="1"/>
    <w:next w:val="1"/>
    <w:autoRedefine/>
    <w:qFormat/>
    <w:uiPriority w:val="0"/>
    <w:pPr>
      <w:widowControl/>
      <w:ind w:firstLine="482"/>
    </w:pPr>
    <w:rPr>
      <w:rFonts w:ascii="微软雅黑" w:hAnsi="微软雅黑" w:eastAsia="微软雅黑"/>
    </w:rPr>
  </w:style>
  <w:style w:type="character" w:customStyle="1" w:styleId="19">
    <w:name w:val="页眉 Char"/>
    <w:basedOn w:val="13"/>
    <w:link w:val="8"/>
    <w:autoRedefine/>
    <w:qFormat/>
    <w:uiPriority w:val="0"/>
    <w:rPr>
      <w:kern w:val="2"/>
      <w:sz w:val="18"/>
      <w:szCs w:val="18"/>
    </w:rPr>
  </w:style>
  <w:style w:type="character" w:customStyle="1" w:styleId="20">
    <w:name w:val="页脚 Char"/>
    <w:basedOn w:val="13"/>
    <w:link w:val="7"/>
    <w:autoRedefine/>
    <w:qFormat/>
    <w:uiPriority w:val="0"/>
    <w:rPr>
      <w:kern w:val="2"/>
      <w:sz w:val="18"/>
      <w:szCs w:val="18"/>
    </w:rPr>
  </w:style>
  <w:style w:type="character" w:customStyle="1" w:styleId="21">
    <w:name w:val="time4"/>
    <w:basedOn w:val="13"/>
    <w:autoRedefine/>
    <w:qFormat/>
    <w:uiPriority w:val="0"/>
  </w:style>
  <w:style w:type="character" w:customStyle="1" w:styleId="22">
    <w:name w:val="text-overflow"/>
    <w:basedOn w:val="13"/>
    <w:autoRedefine/>
    <w:qFormat/>
    <w:uiPriority w:val="0"/>
  </w:style>
  <w:style w:type="character" w:customStyle="1" w:styleId="23">
    <w:name w:val="text-overflow1"/>
    <w:basedOn w:val="13"/>
    <w:autoRedefine/>
    <w:qFormat/>
    <w:uiPriority w:val="0"/>
  </w:style>
  <w:style w:type="character" w:customStyle="1" w:styleId="24">
    <w:name w:val="hover19"/>
    <w:basedOn w:val="13"/>
    <w:autoRedefine/>
    <w:qFormat/>
    <w:uiPriority w:val="0"/>
    <w:rPr>
      <w:color w:val="23527C"/>
      <w:shd w:val="clear" w:fill="EEEEEE"/>
    </w:rPr>
  </w:style>
  <w:style w:type="character" w:customStyle="1" w:styleId="25">
    <w:name w:val="first-child"/>
    <w:basedOn w:val="13"/>
    <w:autoRedefine/>
    <w:qFormat/>
    <w:uiPriority w:val="0"/>
  </w:style>
  <w:style w:type="character" w:customStyle="1" w:styleId="26">
    <w:name w:val="newico"/>
    <w:basedOn w:val="13"/>
    <w:autoRedefine/>
    <w:qFormat/>
    <w:uiPriority w:val="0"/>
  </w:style>
  <w:style w:type="character" w:customStyle="1" w:styleId="27">
    <w:name w:val="bold"/>
    <w:basedOn w:val="13"/>
    <w:autoRedefine/>
    <w:qFormat/>
    <w:uiPriority w:val="0"/>
    <w:rPr>
      <w:b/>
    </w:rPr>
  </w:style>
  <w:style w:type="character" w:customStyle="1" w:styleId="28">
    <w:name w:val="focus1"/>
    <w:basedOn w:val="13"/>
    <w:autoRedefine/>
    <w:qFormat/>
    <w:uiPriority w:val="0"/>
    <w:rPr>
      <w:color w:val="23527C"/>
      <w:shd w:val="clear" w:fill="EEEEEE"/>
    </w:rPr>
  </w:style>
  <w:style w:type="character" w:customStyle="1" w:styleId="29">
    <w:name w:val="time"/>
    <w:basedOn w:val="13"/>
    <w:autoRedefine/>
    <w:qFormat/>
    <w:uiPriority w:val="0"/>
  </w:style>
  <w:style w:type="character" w:customStyle="1" w:styleId="30">
    <w:name w:val="first-child2"/>
    <w:basedOn w:val="13"/>
    <w:autoRedefine/>
    <w:qFormat/>
    <w:uiPriority w:val="0"/>
  </w:style>
  <w:style w:type="character" w:customStyle="1" w:styleId="31">
    <w:name w:val="label-text"/>
    <w:basedOn w:val="13"/>
    <w:autoRedefine/>
    <w:qFormat/>
    <w:uiPriority w:val="0"/>
    <w:rPr>
      <w:color w:val="8A8383"/>
    </w:rPr>
  </w:style>
  <w:style w:type="character" w:customStyle="1" w:styleId="32">
    <w:name w:val="paging-omit"/>
    <w:basedOn w:val="13"/>
    <w:autoRedefine/>
    <w:qFormat/>
    <w:uiPriority w:val="0"/>
    <w:rPr>
      <w:shd w:val="clear" w:fill="E1E1E1"/>
    </w:rPr>
  </w:style>
  <w:style w:type="character" w:customStyle="1" w:styleId="33">
    <w:name w:val="warning"/>
    <w:basedOn w:val="13"/>
    <w:autoRedefine/>
    <w:qFormat/>
    <w:uiPriority w:val="0"/>
    <w:rPr>
      <w:color w:val="E60012"/>
      <w:sz w:val="18"/>
      <w:szCs w:val="18"/>
    </w:rPr>
  </w:style>
  <w:style w:type="character" w:customStyle="1" w:styleId="34">
    <w:name w:val="label"/>
    <w:basedOn w:val="13"/>
    <w:autoRedefine/>
    <w:qFormat/>
    <w:uiPriority w:val="0"/>
    <w:rPr>
      <w:sz w:val="27"/>
      <w:szCs w:val="27"/>
    </w:rPr>
  </w:style>
  <w:style w:type="character" w:customStyle="1" w:styleId="35">
    <w:name w:val="label1"/>
    <w:basedOn w:val="13"/>
    <w:autoRedefine/>
    <w:qFormat/>
    <w:uiPriority w:val="0"/>
    <w:rPr>
      <w:color w:val="000000"/>
      <w:sz w:val="24"/>
      <w:szCs w:val="24"/>
    </w:rPr>
  </w:style>
  <w:style w:type="character" w:customStyle="1" w:styleId="36">
    <w:name w:val="label-text2"/>
    <w:basedOn w:val="13"/>
    <w:autoRedefine/>
    <w:qFormat/>
    <w:uiPriority w:val="0"/>
    <w:rPr>
      <w:color w:val="8A8383"/>
    </w:rPr>
  </w:style>
  <w:style w:type="character" w:customStyle="1" w:styleId="37">
    <w:name w:val="text-decoration"/>
    <w:basedOn w:val="13"/>
    <w:autoRedefine/>
    <w:qFormat/>
    <w:uiPriority w:val="0"/>
    <w:rPr>
      <w:sz w:val="24"/>
      <w:szCs w:val="24"/>
    </w:rPr>
  </w:style>
  <w:style w:type="character" w:customStyle="1" w:styleId="38">
    <w:name w:val="hover18"/>
    <w:basedOn w:val="13"/>
    <w:autoRedefine/>
    <w:qFormat/>
    <w:uiPriority w:val="0"/>
  </w:style>
  <w:style w:type="character" w:customStyle="1" w:styleId="39">
    <w:name w:val="chat-user-color5"/>
    <w:basedOn w:val="13"/>
    <w:autoRedefine/>
    <w:qFormat/>
    <w:uiPriority w:val="0"/>
    <w:rPr>
      <w:color w:val="08DCA7"/>
    </w:rPr>
  </w:style>
  <w:style w:type="character" w:customStyle="1" w:styleId="40">
    <w:name w:val="chat-user-color1"/>
    <w:basedOn w:val="13"/>
    <w:autoRedefine/>
    <w:qFormat/>
    <w:uiPriority w:val="0"/>
    <w:rPr>
      <w:color w:val="2573F2"/>
    </w:rPr>
  </w:style>
  <w:style w:type="character" w:customStyle="1" w:styleId="41">
    <w:name w:val="chat-user-ico"/>
    <w:basedOn w:val="13"/>
    <w:autoRedefine/>
    <w:qFormat/>
    <w:uiPriority w:val="0"/>
    <w:rPr>
      <w:b/>
      <w:bCs/>
      <w:color w:val="FF0000"/>
      <w:shd w:val="clear" w:fill="FFFFFF"/>
    </w:rPr>
  </w:style>
  <w:style w:type="character" w:customStyle="1" w:styleId="42">
    <w:name w:val="chat-user-color2"/>
    <w:basedOn w:val="13"/>
    <w:autoRedefine/>
    <w:qFormat/>
    <w:uiPriority w:val="0"/>
    <w:rPr>
      <w:color w:val="FF8533"/>
    </w:rPr>
  </w:style>
  <w:style w:type="character" w:customStyle="1" w:styleId="43">
    <w:name w:val="chat-user-color0"/>
    <w:basedOn w:val="13"/>
    <w:autoRedefine/>
    <w:qFormat/>
    <w:uiPriority w:val="0"/>
    <w:rPr>
      <w:color w:val="48B845"/>
    </w:rPr>
  </w:style>
  <w:style w:type="character" w:customStyle="1" w:styleId="44">
    <w:name w:val="chat-user-color3"/>
    <w:basedOn w:val="13"/>
    <w:autoRedefine/>
    <w:qFormat/>
    <w:uiPriority w:val="0"/>
    <w:rPr>
      <w:color w:val="FFC414"/>
    </w:rPr>
  </w:style>
  <w:style w:type="character" w:customStyle="1" w:styleId="45">
    <w:name w:val="chat-user-color4"/>
    <w:basedOn w:val="13"/>
    <w:autoRedefine/>
    <w:qFormat/>
    <w:uiPriority w:val="0"/>
    <w:rPr>
      <w:color w:val="1EC7FF"/>
    </w:rPr>
  </w:style>
  <w:style w:type="character" w:customStyle="1" w:styleId="46">
    <w:name w:val="chat-text"/>
    <w:basedOn w:val="13"/>
    <w:autoRedefine/>
    <w:qFormat/>
    <w:uiPriority w:val="0"/>
    <w:rPr>
      <w:color w:val="333333"/>
      <w:shd w:val="clear" w:fill="FFFFFF"/>
    </w:rPr>
  </w:style>
  <w:style w:type="character" w:customStyle="1" w:styleId="47">
    <w:name w:val="chat-text1"/>
    <w:basedOn w:val="13"/>
    <w:autoRedefine/>
    <w:qFormat/>
    <w:uiPriority w:val="0"/>
    <w:rPr>
      <w:color w:val="FFFFFF"/>
      <w:shd w:val="clear" w:fill="75AFD7"/>
    </w:rPr>
  </w:style>
  <w:style w:type="character" w:customStyle="1" w:styleId="48">
    <w:name w:val="colon"/>
    <w:basedOn w:val="13"/>
    <w:autoRedefine/>
    <w:qFormat/>
    <w:uiPriority w:val="0"/>
  </w:style>
  <w:style w:type="character" w:customStyle="1" w:styleId="49">
    <w:name w:val="colon1"/>
    <w:basedOn w:val="13"/>
    <w:autoRedefine/>
    <w:qFormat/>
    <w:uiPriority w:val="0"/>
  </w:style>
  <w:style w:type="character" w:customStyle="1" w:styleId="50">
    <w:name w:val="first-child1"/>
    <w:basedOn w:val="13"/>
    <w:autoRedefine/>
    <w:qFormat/>
    <w:uiPriority w:val="0"/>
    <w:rPr>
      <w:b/>
      <w:bCs/>
      <w:color w:val="095ADF"/>
      <w:sz w:val="21"/>
      <w:szCs w:val="21"/>
      <w:bdr w:val="single" w:color="095ADF" w:sz="6" w:space="0"/>
    </w:rPr>
  </w:style>
  <w:style w:type="character" w:customStyle="1" w:styleId="51">
    <w:name w:val="nth-child(2)"/>
    <w:basedOn w:val="13"/>
    <w:autoRedefine/>
    <w:qFormat/>
    <w:uiPriority w:val="0"/>
  </w:style>
  <w:style w:type="character" w:customStyle="1" w:styleId="52">
    <w:name w:val="green"/>
    <w:basedOn w:val="13"/>
    <w:autoRedefine/>
    <w:qFormat/>
    <w:uiPriority w:val="0"/>
    <w:rPr>
      <w:shd w:val="clear" w:fill="12CC1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1161</Words>
  <Characters>1360</Characters>
  <Lines>1</Lines>
  <Paragraphs>1</Paragraphs>
  <TotalTime>1</TotalTime>
  <ScaleCrop>false</ScaleCrop>
  <LinksUpToDate>false</LinksUpToDate>
  <CharactersWithSpaces>1388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2016-01-29T02:48:00Z</dcterms:created>
  <dc:creator>Administrator</dc:creator>
  <cp:lastModifiedBy>Administrator</cp:lastModifiedBy>
  <cp:lastPrinted>2023-08-22T07:11:00Z</cp:lastPrinted>
  <dcterms:modified xsi:type="dcterms:W3CDTF">2024-01-23T08:11:49Z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A68E74D3DE894A74BD3B5DF2EAEC58A4</vt:lpwstr>
  </property>
</Properties>
</file>